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1C" w:rsidRDefault="00ED781C" w:rsidP="00ED781C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A27F3" w:rsidRDefault="00522D75" w:rsidP="00BA6904">
      <w:pPr>
        <w:jc w:val="center"/>
        <w:rPr>
          <w:rFonts w:ascii="Book Antiqua" w:hAnsi="Book Antiqua"/>
          <w:b/>
          <w:sz w:val="24"/>
          <w:szCs w:val="24"/>
        </w:rPr>
      </w:pPr>
      <w:r w:rsidRPr="00522D75">
        <w:rPr>
          <w:rFonts w:ascii="Book Antiqua" w:hAnsi="Book Antiqua"/>
          <w:b/>
          <w:sz w:val="24"/>
          <w:szCs w:val="24"/>
          <w:lang w:val="sr-Cyrl-CS"/>
        </w:rPr>
        <w:t>„Захтев за додатним информацијама или појашњењима конкурсне документације,</w:t>
      </w:r>
      <w:r w:rsidRPr="00522D75">
        <w:rPr>
          <w:rFonts w:ascii="Book Antiqua" w:hAnsi="Book Antiqua"/>
          <w:b/>
          <w:bCs/>
          <w:sz w:val="24"/>
          <w:szCs w:val="24"/>
          <w:lang w:val="sr-Cyrl-CS"/>
        </w:rPr>
        <w:t xml:space="preserve">ЈН број </w:t>
      </w:r>
      <w:r w:rsidR="001933CA">
        <w:rPr>
          <w:rFonts w:ascii="Book Antiqua" w:hAnsi="Book Antiqua"/>
          <w:b/>
          <w:sz w:val="24"/>
          <w:szCs w:val="24"/>
        </w:rPr>
        <w:t>405/20</w:t>
      </w:r>
      <w:r w:rsidRPr="00522D75">
        <w:rPr>
          <w:rFonts w:ascii="Book Antiqua" w:hAnsi="Book Antiqua"/>
          <w:b/>
          <w:sz w:val="24"/>
          <w:szCs w:val="24"/>
          <w:lang w:val="sr-Cyrl-CS"/>
        </w:rPr>
        <w:t>“</w:t>
      </w:r>
      <w:r w:rsidRPr="00522D75">
        <w:rPr>
          <w:rFonts w:ascii="Book Antiqua" w:hAnsi="Book Antiqua"/>
          <w:b/>
          <w:sz w:val="24"/>
          <w:szCs w:val="24"/>
        </w:rPr>
        <w:tab/>
      </w:r>
    </w:p>
    <w:p w:rsidR="00BA6904" w:rsidRPr="00BA6904" w:rsidRDefault="00BA6904" w:rsidP="00BA6904">
      <w:pPr>
        <w:jc w:val="center"/>
        <w:rPr>
          <w:rFonts w:ascii="Book Antiqua" w:hAnsi="Book Antiqua"/>
          <w:b/>
          <w:sz w:val="24"/>
          <w:szCs w:val="24"/>
        </w:rPr>
      </w:pPr>
    </w:p>
    <w:p w:rsidR="005A27F3" w:rsidRDefault="005A27F3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B57187" w:rsidRDefault="00231E6D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  <w:proofErr w:type="spellStart"/>
      <w:proofErr w:type="gramStart"/>
      <w:r w:rsidRPr="00682F36">
        <w:rPr>
          <w:rFonts w:ascii="Book Antiqua" w:hAnsi="Book Antiqua"/>
          <w:b/>
          <w:szCs w:val="34"/>
          <w:u w:val="single"/>
        </w:rPr>
        <w:t>Питање</w:t>
      </w:r>
      <w:proofErr w:type="spellEnd"/>
      <w:r w:rsidRPr="00682F36">
        <w:rPr>
          <w:rFonts w:ascii="Book Antiqua" w:hAnsi="Book Antiqua"/>
          <w:b/>
          <w:szCs w:val="34"/>
          <w:u w:val="single"/>
        </w:rPr>
        <w:t xml:space="preserve"> </w:t>
      </w:r>
      <w:r w:rsidR="00BA6904">
        <w:rPr>
          <w:rFonts w:ascii="Book Antiqua" w:hAnsi="Book Antiqua"/>
          <w:b/>
          <w:szCs w:val="34"/>
          <w:u w:val="single"/>
        </w:rPr>
        <w:t>4</w:t>
      </w:r>
      <w:r w:rsidRPr="00682F36">
        <w:rPr>
          <w:rFonts w:ascii="Book Antiqua" w:hAnsi="Book Antiqua"/>
          <w:b/>
          <w:szCs w:val="34"/>
          <w:u w:val="single"/>
        </w:rPr>
        <w:t>.</w:t>
      </w:r>
      <w:proofErr w:type="gramEnd"/>
    </w:p>
    <w:p w:rsidR="00231E6D" w:rsidRDefault="00231E6D" w:rsidP="00ED781C">
      <w:pPr>
        <w:spacing w:after="0" w:line="240" w:lineRule="auto"/>
        <w:jc w:val="both"/>
        <w:rPr>
          <w:rFonts w:ascii="Book Antiqua" w:hAnsi="Book Antiqua"/>
          <w:b/>
          <w:szCs w:val="34"/>
          <w:u w:val="single"/>
        </w:rPr>
      </w:pPr>
    </w:p>
    <w:p w:rsidR="00162B19" w:rsidRDefault="00162B19" w:rsidP="001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Поштовани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реконструкцији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амфитеатра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срдњој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пољопривредно-ветеринарској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Стеван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Синђелић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Врању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ЈН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405/20 </w:t>
      </w:r>
    </w:p>
    <w:p w:rsidR="00162B19" w:rsidRDefault="00162B19" w:rsidP="001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19" w:rsidRDefault="00162B19" w:rsidP="001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7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предмеру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опису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минималне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карактеристике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ПВЦ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профила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стакла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задовоље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нормативе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грађевинарству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минималне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ПВЦ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одређивање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коефицијента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пролаза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топлоте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ПВЦ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прозор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пропустљивост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отпорност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ПВЦ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оптерећењу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ветра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звучна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изолација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квалитетне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дато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недефинисано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широка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манипулацију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испоруку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столарије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лошег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B19" w:rsidRDefault="00162B19" w:rsidP="001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19" w:rsidRPr="005A27F3" w:rsidRDefault="00162B19" w:rsidP="0016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5A27F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чл.63 ЗЈН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7F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5A27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7F3" w:rsidRPr="005A27F3" w:rsidRDefault="005A27F3" w:rsidP="00ED7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4A0"/>
      </w:tblPr>
      <w:tblGrid>
        <w:gridCol w:w="10170"/>
      </w:tblGrid>
      <w:tr w:rsidR="00A96413" w:rsidTr="00A13281">
        <w:trPr>
          <w:trHeight w:val="1260"/>
        </w:trPr>
        <w:tc>
          <w:tcPr>
            <w:tcW w:w="10170" w:type="dxa"/>
            <w:vAlign w:val="bottom"/>
            <w:hideMark/>
          </w:tcPr>
          <w:p w:rsidR="00A96413" w:rsidRPr="00A96413" w:rsidRDefault="00A96413" w:rsidP="00A13281">
            <w:pPr>
              <w:rPr>
                <w:rFonts w:ascii="Times New Roman" w:eastAsia="Times New Roman" w:hAnsi="Times New Roman"/>
                <w:b/>
                <w:color w:val="FF0000"/>
              </w:rPr>
            </w:pPr>
            <w:proofErr w:type="spellStart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>Одговор</w:t>
            </w:r>
            <w:proofErr w:type="spellEnd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spellStart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>на</w:t>
            </w:r>
            <w:proofErr w:type="spellEnd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spellStart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>питање</w:t>
            </w:r>
            <w:proofErr w:type="spellEnd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proofErr w:type="spellStart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>бр</w:t>
            </w:r>
            <w:proofErr w:type="spellEnd"/>
            <w:r w:rsidRPr="00E065FF">
              <w:rPr>
                <w:rFonts w:ascii="Times New Roman" w:eastAsia="Times New Roman" w:hAnsi="Times New Roman"/>
                <w:b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</w:rPr>
              <w:t xml:space="preserve"> </w:t>
            </w:r>
            <w:r w:rsidRPr="00E065FF">
              <w:rPr>
                <w:rFonts w:ascii="Times New Roman" w:eastAsia="Times New Roman" w:hAnsi="Times New Roman"/>
                <w:b/>
                <w:color w:val="FF0000"/>
              </w:rPr>
              <w:t>5</w:t>
            </w:r>
          </w:p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Столарски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радови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ће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изведени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свему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пројекту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шемама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столарије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важећим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стандардима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правилницима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цене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садрже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све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операције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утрошке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материјала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помоћни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алат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скеле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прописују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˝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</w:rPr>
              <w:t>грађевинарству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</w:rPr>
              <w:t>Високоградња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ГН 701˝, </w:t>
            </w:r>
            <w:proofErr w:type="spellStart"/>
            <w:r>
              <w:rPr>
                <w:rFonts w:ascii="Times New Roman" w:eastAsia="Times New Roman" w:hAnsi="Times New Roman"/>
              </w:rPr>
              <w:t>као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остале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трошкове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зараду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предузећа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A96413" w:rsidTr="00A13281">
        <w:trPr>
          <w:trHeight w:val="615"/>
        </w:trPr>
        <w:tc>
          <w:tcPr>
            <w:tcW w:w="10170" w:type="dxa"/>
            <w:vAlign w:val="bottom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Цене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сваке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ставке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садржи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узимање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објекту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израду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транспорт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монтажу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застакљивање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ставки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којих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предвиђено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појединачним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описом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радова</w:t>
            </w:r>
            <w:proofErr w:type="spellEnd"/>
            <w:r>
              <w:rPr>
                <w:rFonts w:ascii="Times New Roman" w:eastAsia="Times New Roman" w:hAnsi="Times New Roman"/>
              </w:rPr>
              <w:t>).</w:t>
            </w:r>
          </w:p>
        </w:tc>
      </w:tr>
      <w:tr w:rsidR="00A96413" w:rsidTr="00A96413">
        <w:trPr>
          <w:trHeight w:val="243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Прозоре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урадити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петокоморних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тврдих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беле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минималном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дубином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уградње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70мм. </w:t>
            </w:r>
            <w:proofErr w:type="spellStart"/>
            <w:r>
              <w:rPr>
                <w:rFonts w:ascii="Times New Roman" w:eastAsia="Times New Roman" w:hAnsi="Times New Roman"/>
              </w:rPr>
              <w:t>Број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комора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минимум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петокоморни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ојачањем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поцинкованих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челичних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одговарајуће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дебљине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Профили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могу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произведени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рециклиране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пластике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искључиво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безхоловни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</w:rPr>
              <w:t>зеленим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/>
              </w:rPr>
              <w:t>стабилизаторима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калцијум-цинк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бази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Такође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профил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садржи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постојаност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променама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температуре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постојаност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обезбеди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високу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механичку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стабилност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заптивање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стакала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Запривке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између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стакала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ПВЦ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висококвалитетних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црних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ЕПДМ </w:t>
            </w:r>
            <w:proofErr w:type="spellStart"/>
            <w:r>
              <w:rPr>
                <w:rFonts w:ascii="Times New Roman" w:eastAsia="Times New Roman" w:hAnsi="Times New Roman"/>
              </w:rPr>
              <w:t>материјала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који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навлаче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профиле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после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варења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Прозоре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снабдети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потребним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оковом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шеми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Прозоре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застаклити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нискоемисионим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стаклом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4мм+16мм+4мм.</w:t>
            </w:r>
          </w:p>
        </w:tc>
      </w:tr>
      <w:tr w:rsidR="00A96413" w:rsidTr="00A13281">
        <w:trPr>
          <w:trHeight w:val="60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Столарија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израђена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беле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високоотпорног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старење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ударе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хемикалије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временске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температурне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утицаје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96413" w:rsidTr="00A96413">
        <w:trPr>
          <w:trHeight w:val="1125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Предвидети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уградњу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ПВЦ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петокоморног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дебљина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зида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мин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 2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,7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мм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минималне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уградне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ширине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70мм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ојачаног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челичним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поцинкованим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„У“ </w:t>
            </w:r>
            <w:proofErr w:type="spellStart"/>
            <w:r>
              <w:rPr>
                <w:rFonts w:ascii="Times New Roman" w:eastAsia="Times New Roman" w:hAnsi="Times New Roman"/>
              </w:rPr>
              <w:t>профилом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минималне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дебљине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1,5мм, </w:t>
            </w:r>
            <w:proofErr w:type="spellStart"/>
            <w:r>
              <w:rPr>
                <w:rFonts w:ascii="Times New Roman" w:eastAsia="Times New Roman" w:hAnsi="Times New Roman"/>
              </w:rPr>
              <w:t>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двоструким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дихтовањем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Уз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понуду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потребно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приложити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технички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цртеж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попречног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пресека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lastRenderedPageBreak/>
              <w:t>који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нуди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Застакљивање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столарије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извршити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нискоемисионим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стаклом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4мм+16мм+4мм</w:t>
            </w:r>
          </w:p>
        </w:tc>
      </w:tr>
      <w:tr w:rsidR="00A96413" w:rsidTr="00A13281">
        <w:trPr>
          <w:trHeight w:val="60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</w:rPr>
              <w:t>Коефицијент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пролаза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топлоте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прозор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К≤1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</w:rPr>
              <w:t>,15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 xml:space="preserve"> W/(m2K)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боље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SRPS U.J5.060:1984 и SRPS U.J5.600:1988</w:t>
            </w:r>
            <w:r>
              <w:rPr>
                <w:rFonts w:ascii="Times New Roman" w:eastAsia="Times New Roman" w:hAnsi="Times New Roman"/>
              </w:rPr>
              <w:t>).</w:t>
            </w:r>
          </w:p>
        </w:tc>
      </w:tr>
      <w:tr w:rsidR="00A96413" w:rsidTr="00A13281">
        <w:trPr>
          <w:trHeight w:val="615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</w:rPr>
              <w:t>Пропустљивост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ваздуха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прозор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категорију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"4"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SRPS EN 12207:2008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</w:tr>
      <w:tr w:rsidR="00A96413" w:rsidTr="00A13281">
        <w:trPr>
          <w:trHeight w:val="60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/>
              </w:rPr>
              <w:t>Отпорност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прозора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оптерећењу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ветра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категорију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"C 4"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(SRPS EN 12210)</w:t>
            </w:r>
          </w:p>
        </w:tc>
      </w:tr>
      <w:tr w:rsidR="00A96413" w:rsidTr="00A13281">
        <w:trPr>
          <w:trHeight w:val="57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</w:rPr>
              <w:t>Отпорност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прозора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пропуштању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воде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категорију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</w:rPr>
              <w:t>"9А"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(SRPS EN 12208: 2008)</w:t>
            </w:r>
          </w:p>
        </w:tc>
      </w:tr>
      <w:tr w:rsidR="00A96413" w:rsidTr="00A13281">
        <w:trPr>
          <w:trHeight w:val="60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</w:rPr>
              <w:t>Звучна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изолација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прозора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звучну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изолациону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моћ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Класа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I: </w:t>
            </w:r>
            <w:proofErr w:type="spellStart"/>
            <w:r>
              <w:rPr>
                <w:rFonts w:ascii="Times New Roman" w:eastAsia="Times New Roman" w:hAnsi="Times New Roman"/>
              </w:rPr>
              <w:t>минимум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Рw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=37dB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боље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(SRPS ISO 140-3: 2008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SRPS ISO 717-1:2000)</w:t>
            </w:r>
          </w:p>
        </w:tc>
      </w:tr>
      <w:tr w:rsidR="00A96413" w:rsidTr="00A13281">
        <w:trPr>
          <w:trHeight w:val="630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/>
              </w:rPr>
              <w:t>Коефицијент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пролаза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топлоте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сета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шток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крило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</w:rPr>
              <w:t>k≤1,3W/(m2K)</w:t>
            </w:r>
            <w:r>
              <w:rPr>
                <w:rFonts w:ascii="Times New Roman" w:eastAsia="Times New Roman" w:hAnsi="Times New Roman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/>
              </w:rPr>
              <w:t>боље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A96413" w:rsidTr="00A13281">
        <w:trPr>
          <w:trHeight w:val="615"/>
        </w:trPr>
        <w:tc>
          <w:tcPr>
            <w:tcW w:w="10170" w:type="dxa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/>
              </w:rPr>
              <w:t>Запаљивост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</w:rPr>
              <w:t>самогасивост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профила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задовољава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категорију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("2"</w:t>
            </w:r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према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(G.S2.659).</w:t>
            </w:r>
          </w:p>
        </w:tc>
      </w:tr>
      <w:tr w:rsidR="00A96413" w:rsidTr="00A13281">
        <w:trPr>
          <w:trHeight w:val="600"/>
        </w:trPr>
        <w:tc>
          <w:tcPr>
            <w:tcW w:w="10170" w:type="dxa"/>
            <w:hideMark/>
          </w:tcPr>
          <w:p w:rsidR="00A96413" w:rsidRPr="00E065FF" w:rsidRDefault="00A96413" w:rsidP="00A13281">
            <w:pPr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Захтевани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атести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готов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прозор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обавезно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приложити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уз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понуду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су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издати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понуђача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од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стране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акредитоване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лабораторије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испитивање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</w:tr>
      <w:tr w:rsidR="00A96413" w:rsidTr="00A13281">
        <w:trPr>
          <w:trHeight w:val="1200"/>
        </w:trPr>
        <w:tc>
          <w:tcPr>
            <w:tcW w:w="10170" w:type="dxa"/>
            <w:noWrap/>
            <w:vAlign w:val="bottom"/>
            <w:hideMark/>
          </w:tcPr>
          <w:p w:rsidR="00A96413" w:rsidRDefault="00A96413" w:rsidP="00A1328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</w:rPr>
              <w:t>Понуђач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дужан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достави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понуду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A96413">
              <w:rPr>
                <w:rFonts w:ascii="Times New Roman" w:eastAsia="Times New Roman" w:hAnsi="Times New Roman"/>
                <w:b/>
                <w:color w:val="FF0000"/>
              </w:rPr>
              <w:t>ДОКАЗЕ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поседује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ИСО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стандарде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области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израда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уградња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ПВЦ </w:t>
            </w:r>
            <w:proofErr w:type="spellStart"/>
            <w:r>
              <w:rPr>
                <w:rFonts w:ascii="Times New Roman" w:eastAsia="Times New Roman" w:hAnsi="Times New Roman"/>
              </w:rPr>
              <w:t>столарије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.:</w:t>
            </w:r>
          </w:p>
          <w:p w:rsidR="00A96413" w:rsidRDefault="00A96413" w:rsidP="00A13281">
            <w:pPr>
              <w:ind w:firstLine="720"/>
              <w:rPr>
                <w:rFonts w:ascii="Times New Roman" w:eastAsia="Times New Roman" w:hAnsi="Times New Roman"/>
              </w:rPr>
            </w:pPr>
            <w:r w:rsidRPr="001031C4">
              <w:rPr>
                <w:rFonts w:ascii="Times New Roman" w:eastAsia="Times New Roman" w:hAnsi="Times New Roman"/>
                <w:b/>
              </w:rPr>
              <w:t>- ИСО 9001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систем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менаџмента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квалитета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  <w:p w:rsidR="00A96413" w:rsidRDefault="00A96413" w:rsidP="00A13281">
            <w:pPr>
              <w:ind w:firstLine="720"/>
              <w:rPr>
                <w:rFonts w:ascii="Times New Roman" w:eastAsia="Times New Roman" w:hAnsi="Times New Roman"/>
              </w:rPr>
            </w:pPr>
            <w:r w:rsidRPr="001031C4">
              <w:rPr>
                <w:rFonts w:ascii="Times New Roman" w:eastAsia="Times New Roman" w:hAnsi="Times New Roman"/>
                <w:b/>
              </w:rPr>
              <w:t>- ИСО 14001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систем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управљања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животне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средине</w:t>
            </w:r>
            <w:proofErr w:type="spellEnd"/>
          </w:p>
          <w:p w:rsidR="00A96413" w:rsidRPr="00E065FF" w:rsidRDefault="00A96413" w:rsidP="00A13281">
            <w:pPr>
              <w:ind w:firstLine="720"/>
              <w:rPr>
                <w:rFonts w:ascii="Times New Roman" w:eastAsia="Times New Roman" w:hAnsi="Times New Roman"/>
              </w:rPr>
            </w:pPr>
            <w:r w:rsidRPr="001031C4">
              <w:rPr>
                <w:rFonts w:ascii="Times New Roman" w:eastAsia="Times New Roman" w:hAnsi="Times New Roman"/>
                <w:b/>
              </w:rPr>
              <w:t>- ИСО 18001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систем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управљања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заштитом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здравља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безбедности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раду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</w:tr>
    </w:tbl>
    <w:p w:rsidR="00517E0D" w:rsidRDefault="00517E0D" w:rsidP="00ED781C">
      <w:pPr>
        <w:spacing w:after="0" w:line="240" w:lineRule="auto"/>
        <w:jc w:val="both"/>
        <w:rPr>
          <w:rFonts w:ascii="Book Antiqua" w:hAnsi="Book Antiqua"/>
          <w:szCs w:val="34"/>
        </w:rPr>
      </w:pPr>
    </w:p>
    <w:sectPr w:rsidR="00517E0D" w:rsidSect="00522D75">
      <w:pgSz w:w="12240" w:h="15840"/>
      <w:pgMar w:top="144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C389A"/>
    <w:multiLevelType w:val="hybridMultilevel"/>
    <w:tmpl w:val="BB68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EE2"/>
    <w:rsid w:val="00015A03"/>
    <w:rsid w:val="000313C8"/>
    <w:rsid w:val="0006391E"/>
    <w:rsid w:val="000B3CE0"/>
    <w:rsid w:val="001059FB"/>
    <w:rsid w:val="00162B19"/>
    <w:rsid w:val="00173C2A"/>
    <w:rsid w:val="001933CA"/>
    <w:rsid w:val="00231E6D"/>
    <w:rsid w:val="0025521C"/>
    <w:rsid w:val="002D600D"/>
    <w:rsid w:val="00391A34"/>
    <w:rsid w:val="00427C99"/>
    <w:rsid w:val="00493442"/>
    <w:rsid w:val="004964B6"/>
    <w:rsid w:val="004C2573"/>
    <w:rsid w:val="004C4206"/>
    <w:rsid w:val="004D48AD"/>
    <w:rsid w:val="00517E0D"/>
    <w:rsid w:val="00522D75"/>
    <w:rsid w:val="005A27F3"/>
    <w:rsid w:val="005D20F9"/>
    <w:rsid w:val="0063628D"/>
    <w:rsid w:val="00744D3E"/>
    <w:rsid w:val="007521CB"/>
    <w:rsid w:val="007A67B6"/>
    <w:rsid w:val="00805710"/>
    <w:rsid w:val="008330D6"/>
    <w:rsid w:val="008A56EB"/>
    <w:rsid w:val="008B5EE2"/>
    <w:rsid w:val="008F17A4"/>
    <w:rsid w:val="009052C9"/>
    <w:rsid w:val="00952A2E"/>
    <w:rsid w:val="0095457A"/>
    <w:rsid w:val="009631B9"/>
    <w:rsid w:val="00976A1C"/>
    <w:rsid w:val="00A537FD"/>
    <w:rsid w:val="00A67133"/>
    <w:rsid w:val="00A712CD"/>
    <w:rsid w:val="00A73C1E"/>
    <w:rsid w:val="00A96413"/>
    <w:rsid w:val="00AC6B8E"/>
    <w:rsid w:val="00B57187"/>
    <w:rsid w:val="00B85F43"/>
    <w:rsid w:val="00BA6904"/>
    <w:rsid w:val="00BD7C20"/>
    <w:rsid w:val="00C621AA"/>
    <w:rsid w:val="00CB5771"/>
    <w:rsid w:val="00CC72CF"/>
    <w:rsid w:val="00D57EB5"/>
    <w:rsid w:val="00DA52C4"/>
    <w:rsid w:val="00DB706E"/>
    <w:rsid w:val="00DD746F"/>
    <w:rsid w:val="00E016D5"/>
    <w:rsid w:val="00E53DBD"/>
    <w:rsid w:val="00E76A73"/>
    <w:rsid w:val="00EA7A2A"/>
    <w:rsid w:val="00EC4791"/>
    <w:rsid w:val="00EC5F1C"/>
    <w:rsid w:val="00ED781C"/>
    <w:rsid w:val="00F412AA"/>
    <w:rsid w:val="00F41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5E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81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22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stbogdanovic</dc:creator>
  <cp:lastModifiedBy>stbogdanovic</cp:lastModifiedBy>
  <cp:revision>21</cp:revision>
  <cp:lastPrinted>2019-04-22T11:00:00Z</cp:lastPrinted>
  <dcterms:created xsi:type="dcterms:W3CDTF">2020-03-12T13:22:00Z</dcterms:created>
  <dcterms:modified xsi:type="dcterms:W3CDTF">2020-06-22T11:55:00Z</dcterms:modified>
</cp:coreProperties>
</file>